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i/>
          <w:color w:val="auto"/>
          <w:sz w:val="32"/>
          <w:szCs w:val="20"/>
          <w:lang w:val="en-US" w:eastAsia="zh-CN"/>
        </w:rPr>
      </w:pPr>
      <w:bookmarkStart w:id="0" w:name="OLE_LINK6"/>
      <w:bookmarkStart w:id="1" w:name="OLE_LINK5"/>
      <w:r>
        <w:rPr>
          <w:rFonts w:ascii="Arial" w:hAnsi="Arial" w:eastAsia="宋体" w:cs="Times New Roman"/>
          <w:b/>
          <w:bCs/>
          <w:sz w:val="24"/>
          <w:szCs w:val="20"/>
        </w:rPr>
        <w:t>3GPP T</w:t>
      </w:r>
      <w:bookmarkStart w:id="2" w:name="_Ref452454252"/>
      <w:bookmarkEnd w:id="2"/>
      <w:r>
        <w:rPr>
          <w:rFonts w:ascii="Arial" w:hAnsi="Arial" w:eastAsia="宋体" w:cs="Times New Roman"/>
          <w:b/>
          <w:bCs/>
          <w:sz w:val="24"/>
          <w:szCs w:val="20"/>
        </w:rPr>
        <w:t xml:space="preserve">SG-RAN </w:t>
      </w:r>
      <w:r>
        <w:rPr>
          <w:rFonts w:ascii="Arial" w:hAnsi="Arial" w:eastAsia="宋体" w:cs="Times New Roman"/>
          <w:b/>
          <w:sz w:val="24"/>
          <w:szCs w:val="20"/>
        </w:rPr>
        <w:t>WG4 Meeting #10</w:t>
      </w:r>
      <w:r>
        <w:rPr>
          <w:rFonts w:hint="eastAsia" w:ascii="Arial" w:hAnsi="Arial" w:eastAsia="宋体" w:cs="Times New Roman"/>
          <w:b/>
          <w:sz w:val="24"/>
          <w:szCs w:val="20"/>
          <w:lang w:val="en-US" w:eastAsia="zh-CN"/>
        </w:rPr>
        <w:t>6</w:t>
      </w:r>
      <w:r>
        <w:rPr>
          <w:rFonts w:ascii="Arial" w:hAnsi="Arial" w:eastAsia="宋体" w:cs="Times New Roman"/>
          <w:b/>
          <w:bCs/>
          <w:sz w:val="24"/>
          <w:szCs w:val="20"/>
        </w:rPr>
        <w:tab/>
      </w:r>
      <w:r>
        <w:rPr>
          <w:rFonts w:ascii="Arial" w:hAnsi="Arial" w:eastAsia="宋体" w:cs="Times New Roman"/>
          <w:b/>
          <w:bCs/>
          <w:sz w:val="24"/>
          <w:szCs w:val="20"/>
          <w:lang w:eastAsia="ja-JP"/>
        </w:rPr>
        <w:t>R4-</w:t>
      </w:r>
      <w:r>
        <w:rPr>
          <w:rFonts w:hint="eastAsia" w:ascii="Arial" w:hAnsi="Arial" w:eastAsia="宋体" w:cs="Times New Roman"/>
          <w:b/>
          <w:bCs/>
          <w:sz w:val="24"/>
          <w:szCs w:val="20"/>
          <w:lang w:val="en-US" w:eastAsia="zh-CN"/>
        </w:rPr>
        <w:t>2301395</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r>
        <w:rPr>
          <w:rFonts w:hint="eastAsia" w:ascii="Arial" w:hAnsi="Arial" w:eastAsia="宋体" w:cs="Times New Roman"/>
          <w:b/>
          <w:sz w:val="24"/>
          <w:szCs w:val="20"/>
          <w:lang w:val="en-US" w:eastAsia="zh-CN"/>
        </w:rPr>
        <w:t>Greece, Athens</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February</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27</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xml:space="preserve">– </w:t>
      </w:r>
      <w:r>
        <w:rPr>
          <w:rFonts w:hint="eastAsia" w:ascii="Arial" w:hAnsi="Arial" w:eastAsia="宋体" w:cs="Times New Roman"/>
          <w:b/>
          <w:sz w:val="24"/>
          <w:szCs w:val="20"/>
          <w:lang w:val="en-US" w:eastAsia="zh-CN"/>
        </w:rPr>
        <w:t>March3</w:t>
      </w:r>
      <w:r>
        <w:rPr>
          <w:rFonts w:hint="eastAsia" w:ascii="Arial" w:hAnsi="Arial" w:eastAsia="宋体" w:cs="Times New Roman"/>
          <w:b/>
          <w:sz w:val="24"/>
          <w:szCs w:val="20"/>
          <w:vertAlign w:val="superscript"/>
          <w:lang w:val="en-US" w:eastAsia="zh-CN"/>
        </w:rPr>
        <w:t>th</w:t>
      </w:r>
      <w:r>
        <w:rPr>
          <w:rFonts w:ascii="Arial" w:hAnsi="Arial" w:eastAsia="宋体" w:cs="Times New Roman"/>
          <w:b/>
          <w:sz w:val="24"/>
          <w:szCs w:val="20"/>
        </w:rPr>
        <w:t>, 202</w:t>
      </w:r>
      <w:r>
        <w:rPr>
          <w:rFonts w:hint="eastAsia" w:ascii="Arial" w:hAnsi="Arial" w:eastAsia="宋体" w:cs="Times New Roman"/>
          <w:b/>
          <w:sz w:val="24"/>
          <w:szCs w:val="20"/>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rPr>
                <w:rFonts w:hint="default" w:eastAsia="宋体"/>
                <w:b/>
                <w:bCs/>
                <w:sz w:val="28"/>
                <w:szCs w:val="28"/>
                <w:lang w:val="en-US" w:eastAsia="zh-CN"/>
              </w:rPr>
            </w:pPr>
            <w:r>
              <w:rPr>
                <w:rFonts w:hint="eastAsia" w:eastAsia="宋体"/>
                <w:b/>
                <w:bCs/>
                <w:sz w:val="28"/>
                <w:lang w:val="en-US" w:eastAsia="zh-CN"/>
              </w:rPr>
              <w:t>1396</w:t>
            </w:r>
            <w:bookmarkStart w:id="4" w:name="_GoBack"/>
            <w:bookmarkEnd w:id="4"/>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17.8.0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3" w:name="_Hlt497126619"/>
            <w:r>
              <w:rPr>
                <w:rStyle w:val="73"/>
                <w:rFonts w:cs="Arial"/>
                <w:b/>
                <w:i/>
                <w:color w:val="FF0000"/>
              </w:rPr>
              <w:t>L</w:t>
            </w:r>
            <w:bookmarkEnd w:id="3"/>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 xml:space="preserve">: </w:t>
            </w:r>
            <w:r>
              <w:rPr>
                <w:rFonts w:hint="eastAsia" w:eastAsia="宋体"/>
                <w:lang w:val="en-US" w:eastAsia="zh-CN"/>
              </w:rPr>
              <w:t>Complement the assistance information for NTN neighbour cell measurement.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 xml:space="preserve">ZTE </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ascii="Arial" w:hAnsi="Arial" w:cs="Arial"/>
                <w:sz w:val="18"/>
                <w:szCs w:val="18"/>
                <w:lang w:eastAsia="ja-JP"/>
              </w:rPr>
              <w:t>NR_NTN_solutions-Core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202</w:t>
            </w:r>
            <w:r>
              <w:rPr>
                <w:rFonts w:hint="eastAsia" w:eastAsia="宋体"/>
                <w:lang w:val="en-US" w:eastAsia="zh-CN"/>
              </w:rPr>
              <w:t>3</w:t>
            </w:r>
            <w:r>
              <w:t>-</w:t>
            </w:r>
            <w:r>
              <w:rPr>
                <w:rFonts w:hint="eastAsia" w:eastAsia="宋体"/>
                <w:lang w:val="en-US" w:eastAsia="zh-CN"/>
              </w:rPr>
              <w:t>02</w:t>
            </w:r>
            <w:r>
              <w:t>-1</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 xml:space="preserve">The assistance information for NTN neighbour cell measurement is missed.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assistance information for NTN neighbour cell measurement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jc w:val="both"/>
              <w:rPr>
                <w:rFonts w:hint="default" w:eastAsia="宋体"/>
                <w:lang w:val="en-US" w:eastAsia="zh-CN"/>
              </w:rPr>
            </w:pPr>
            <w:r>
              <w:rPr>
                <w:rFonts w:hint="eastAsia" w:eastAsia="宋体"/>
                <w:lang w:val="en-US" w:eastAsia="zh-CN"/>
              </w:rPr>
              <w:t>It is vague and confused for NTN neighbour cell measurement without assistance information.</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9.2C.1, 9.3C.1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CHANGE&gt;</w:t>
      </w:r>
    </w:p>
    <w:p>
      <w:pPr>
        <w:pStyle w:val="3"/>
      </w:pPr>
      <w:r>
        <w:t>9.2C</w:t>
      </w:r>
      <w:r>
        <w:tab/>
      </w:r>
      <w:r>
        <w:t>NR intra-frequency measurements for SAN</w:t>
      </w:r>
    </w:p>
    <w:p>
      <w:pPr>
        <w:pStyle w:val="4"/>
      </w:pPr>
      <w:r>
        <w:t>9.2C.1</w:t>
      </w:r>
      <w:r>
        <w:tab/>
      </w:r>
      <w:r>
        <w:t>Introduction</w:t>
      </w:r>
    </w:p>
    <w:p>
      <w:r>
        <w:t>The requirements in clause 9.2C apply for intra-frequency measurements on an SAN carrier frequency.</w:t>
      </w:r>
    </w:p>
    <w:p>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ins w:id="0" w:author="10334769" w:date="2023-02-14T11:06:02Z">
        <w:r>
          <w:rPr>
            <w:rFonts w:hint="eastAsia" w:cs="v4.2.0"/>
            <w:lang w:val="en-US" w:eastAsia="zh-CN"/>
          </w:rPr>
          <w:t>T</w:t>
        </w:r>
      </w:ins>
      <w:ins w:id="1" w:author="10334769" w:date="2023-02-14T11:06:02Z">
        <w:r>
          <w:rPr>
            <w:rFonts w:hint="eastAsia" w:cs="v4.2.0"/>
            <w:lang w:eastAsia="zh-CN"/>
          </w:rPr>
          <w:t>he valid parameters of e</w:t>
        </w:r>
      </w:ins>
      <w:ins w:id="2" w:author="10334769" w:date="2023-02-14T11:06:02Z">
        <w:r>
          <w:rPr>
            <w:rFonts w:cs="v4.2.0"/>
            <w:lang w:eastAsia="zh-CN"/>
          </w:rPr>
          <w:t>phemeris information</w:t>
        </w:r>
      </w:ins>
      <w:ins w:id="3" w:author="10334769" w:date="2023-02-14T11:06:02Z">
        <w:r>
          <w:rPr>
            <w:rFonts w:hint="eastAsia" w:cs="v4.2.0"/>
            <w:lang w:eastAsia="zh-CN"/>
          </w:rPr>
          <w:t>, e</w:t>
        </w:r>
      </w:ins>
      <w:ins w:id="4" w:author="10334769" w:date="2023-02-14T11:06:02Z">
        <w:r>
          <w:rPr>
            <w:rFonts w:cs="v4.2.0"/>
            <w:lang w:eastAsia="zh-CN"/>
          </w:rPr>
          <w:t>poch time of the ephemeris</w:t>
        </w:r>
      </w:ins>
      <w:ins w:id="5" w:author="10334769" w:date="2023-02-14T11:06:02Z">
        <w:r>
          <w:rPr>
            <w:rFonts w:hint="eastAsia" w:cs="v4.2.0"/>
            <w:lang w:eastAsia="zh-CN"/>
          </w:rPr>
          <w:t>, c</w:t>
        </w:r>
      </w:ins>
      <w:ins w:id="6" w:author="10334769" w:date="2023-02-14T11:06:02Z">
        <w:r>
          <w:rPr>
            <w:rFonts w:cs="v4.2.0"/>
            <w:lang w:eastAsia="zh-CN"/>
          </w:rPr>
          <w:t>ommon TA</w:t>
        </w:r>
      </w:ins>
      <w:ins w:id="7" w:author="10334769" w:date="2023-02-14T11:06:02Z">
        <w:r>
          <w:rPr>
            <w:rFonts w:hint="eastAsia" w:cs="v4.2.0"/>
            <w:lang w:eastAsia="zh-CN"/>
          </w:rPr>
          <w:t>, v</w:t>
        </w:r>
      </w:ins>
      <w:ins w:id="8" w:author="10334769" w:date="2023-02-14T11:06:02Z">
        <w:r>
          <w:rPr>
            <w:rFonts w:cs="v4.2.0"/>
            <w:lang w:eastAsia="zh-CN"/>
          </w:rPr>
          <w:t>alidity timer information</w:t>
        </w:r>
      </w:ins>
      <w:ins w:id="9" w:author="10334769" w:date="2023-02-14T11:06:02Z">
        <w:r>
          <w:rPr>
            <w:rFonts w:hint="eastAsia" w:cs="v4.2.0"/>
            <w:lang w:eastAsia="zh-CN"/>
          </w:rPr>
          <w:t xml:space="preserve">, </w:t>
        </w:r>
      </w:ins>
      <w:ins w:id="10" w:author="10334769" w:date="2023-02-14T11:06:02Z">
        <w:r>
          <w:rPr>
            <w:rFonts w:hint="eastAsia" w:cs="v4.2.0"/>
            <w:lang w:val="en-US" w:eastAsia="zh-CN"/>
          </w:rPr>
          <w:t>downlink</w:t>
        </w:r>
      </w:ins>
      <w:ins w:id="11" w:author="10334769" w:date="2023-02-14T11:06:02Z">
        <w:r>
          <w:rPr>
            <w:rFonts w:cs="v4.2.0"/>
            <w:lang w:eastAsia="zh-CN"/>
          </w:rPr>
          <w:t xml:space="preserve"> </w:t>
        </w:r>
      </w:ins>
      <w:ins w:id="12" w:author="10334769" w:date="2023-02-14T11:06:02Z">
        <w:r>
          <w:rPr>
            <w:rFonts w:hint="eastAsia" w:cs="v4.2.0"/>
            <w:lang w:val="en-US" w:eastAsia="zh-CN"/>
          </w:rPr>
          <w:t>p</w:t>
        </w:r>
      </w:ins>
      <w:ins w:id="13" w:author="10334769" w:date="2023-02-14T11:06:02Z">
        <w:r>
          <w:rPr>
            <w:rFonts w:cs="v4.2.0"/>
            <w:lang w:eastAsia="zh-CN"/>
          </w:rPr>
          <w:t>olarization information</w:t>
        </w:r>
      </w:ins>
      <w:ins w:id="14" w:author="10334769" w:date="2023-02-14T11:06:02Z">
        <w:r>
          <w:rPr>
            <w:rFonts w:hint="eastAsia" w:cs="v4.2.0"/>
            <w:lang w:val="en-US" w:eastAsia="zh-CN"/>
          </w:rPr>
          <w:t xml:space="preserve"> </w:t>
        </w:r>
      </w:ins>
      <w:ins w:id="15" w:author="10334769" w:date="2023-02-14T11:06:02Z">
        <w:r>
          <w:rPr>
            <w:rFonts w:hint="eastAsia" w:cs="v4.2.0"/>
            <w:lang w:eastAsia="zh-CN"/>
          </w:rPr>
          <w:t>for target NR SAN cell are send to UE</w:t>
        </w:r>
      </w:ins>
      <w:ins w:id="16" w:author="10334769" w:date="2023-02-14T11:06:02Z">
        <w:r>
          <w:rPr>
            <w:rFonts w:hint="eastAsia" w:cs="v4.2.0"/>
            <w:lang w:val="en-US" w:eastAsia="zh-CN"/>
          </w:rPr>
          <w:t>.</w:t>
        </w:r>
      </w:ins>
    </w:p>
    <w:p>
      <w:r>
        <w:t>The UE can perform intra-frequency SSB based measurements without measurement gaps if</w:t>
      </w:r>
    </w:p>
    <w:p>
      <w:pPr>
        <w:pStyle w:val="105"/>
        <w:rPr>
          <w:lang w:eastAsia="zh-CN"/>
        </w:rPr>
      </w:pPr>
      <w:r>
        <w:t>-</w:t>
      </w:r>
      <w:r>
        <w:tab/>
      </w:r>
      <w:r>
        <w:t xml:space="preserve">the UE indicates ‘no-gap’ via </w:t>
      </w:r>
      <w:r>
        <w:rPr>
          <w:i/>
        </w:rPr>
        <w:t>intraFreq-needForGap</w:t>
      </w:r>
      <w:r>
        <w:t xml:space="preserve"> for intra-frequency measurement</w:t>
      </w:r>
      <w:r>
        <w:rPr>
          <w:lang w:eastAsia="zh-CN"/>
        </w:rPr>
        <w:t>, or</w:t>
      </w:r>
    </w:p>
    <w:p>
      <w:pPr>
        <w:pStyle w:val="105"/>
        <w:rPr>
          <w:lang w:eastAsia="zh-CN"/>
        </w:rPr>
      </w:pPr>
      <w:r>
        <w:t>-</w:t>
      </w:r>
      <w:r>
        <w:tab/>
      </w:r>
      <w:r>
        <w:t xml:space="preserve">the SSB is completely contained in the </w:t>
      </w:r>
      <w:r>
        <w:rPr>
          <w:lang w:eastAsia="zh-CN"/>
        </w:rPr>
        <w:t>active BWP</w:t>
      </w:r>
      <w:r>
        <w:t xml:space="preserve"> of the UE</w:t>
      </w:r>
      <w:r>
        <w:rPr>
          <w:lang w:eastAsia="zh-CN"/>
        </w:rPr>
        <w:t>, or</w:t>
      </w:r>
    </w:p>
    <w:p>
      <w:pPr>
        <w:pStyle w:val="105"/>
      </w:pPr>
      <w:r>
        <w:rPr>
          <w:lang w:eastAsia="zh-CN"/>
        </w:rPr>
        <w:t>-</w:t>
      </w:r>
      <w:r>
        <w:tab/>
      </w:r>
      <w:r>
        <w:t>the active downlink BWP is initial BWP</w:t>
      </w:r>
      <w:r>
        <w:rPr>
          <w:lang w:eastAsia="zh-CN"/>
        </w:rPr>
        <w:t>[3]</w:t>
      </w:r>
      <w:r>
        <w:t>.</w:t>
      </w:r>
    </w:p>
    <w:p>
      <w:r>
        <w:t>For intra-frequency SSB based measurements without measurement gaps, UE may cause scheduling restriction as specified in clause 9.2C.5.3.</w:t>
      </w:r>
    </w:p>
    <w:p>
      <w: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pPr>
        <w:pStyle w:val="105"/>
      </w:pPr>
      <w:r>
        <w:t>-</w:t>
      </w:r>
      <w:r>
        <w:tab/>
      </w:r>
      <w:r>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pPr>
        <w:pStyle w:val="105"/>
      </w:pPr>
      <w:r>
        <w:t>-</w:t>
      </w:r>
      <w:r>
        <w:tab/>
      </w:r>
      <w:r>
        <w:t xml:space="preserve">when </w:t>
      </w:r>
      <w:r>
        <w:rPr>
          <w:i/>
        </w:rPr>
        <w:t>SSB-MTC4List-r17</w:t>
      </w:r>
      <w:r>
        <w:t xml:space="preserve"> is configured, multiple measurement window offsets may be configured with </w:t>
      </w:r>
      <w:r>
        <w:rPr>
          <w:i/>
        </w:rPr>
        <w:t>SSB-MTC</w:t>
      </w:r>
      <w:r>
        <w:t xml:space="preserve"> and </w:t>
      </w:r>
      <w:r>
        <w:rPr>
          <w:i/>
        </w:rPr>
        <w:t>SSB-MTC4List-r17</w:t>
      </w:r>
      <w:r>
        <w:t>, and the requriements in 9.2C apply provided that the total number of measurement window offsets does not exceed the UE capability [TBD]</w:t>
      </w:r>
    </w:p>
    <w:p>
      <w:pPr>
        <w:rPr>
          <w:rFonts w:cs="v4.2.0"/>
        </w:rPr>
      </w:pPr>
      <w:r>
        <w:t>When measurement gaps are needed, the UE is not expected to detect SSB which start earlier than the gap starting time + switching time, nor detect SSB which end later than the gap end – switching time. Switching time is 0.5ms for frequency range FR1.</w:t>
      </w:r>
    </w:p>
    <w:p>
      <w:pPr>
        <w:pStyle w:val="3"/>
      </w:pPr>
      <w:r>
        <w:t>9.3C</w:t>
      </w:r>
      <w:r>
        <w:tab/>
      </w:r>
      <w:r>
        <w:t>NR inter-frequency measurements for SAN</w:t>
      </w:r>
    </w:p>
    <w:p>
      <w:pPr>
        <w:pStyle w:val="4"/>
      </w:pPr>
      <w:r>
        <w:rPr>
          <w:rFonts w:eastAsia="Malgun Gothic"/>
        </w:rPr>
        <w:t>9.3C.1</w:t>
      </w:r>
      <w:r>
        <w:rPr>
          <w:rFonts w:eastAsia="Malgun Gothic"/>
        </w:rPr>
        <w:tab/>
      </w:r>
      <w:r>
        <w:rPr>
          <w:rFonts w:eastAsia="Malgun Gothic"/>
        </w:rPr>
        <w:t>Introduction</w:t>
      </w:r>
    </w:p>
    <w:p>
      <w:pPr>
        <w:rPr>
          <w:rFonts w:eastAsia="Malgun Gothic"/>
        </w:rPr>
      </w:pPr>
      <w:r>
        <w:rPr>
          <w:rFonts w:eastAsia="Malgun Gothic"/>
        </w:rPr>
        <w:t>A measurement is defined as an SSB based inter-frequency measurement provided it is not defined as an intra-frequency measurement according to clause 9.2.</w:t>
      </w:r>
    </w:p>
    <w:p>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pPr>
        <w:rPr>
          <w:rFonts w:eastAsia="Malgun Gothic"/>
        </w:rPr>
      </w:pPr>
      <w:ins w:id="17" w:author="10334769" w:date="2023-02-14T11:07:12Z">
        <w:r>
          <w:rPr>
            <w:rFonts w:hint="eastAsia" w:cs="v4.2.0"/>
            <w:lang w:val="en-US" w:eastAsia="zh-CN"/>
          </w:rPr>
          <w:t>T</w:t>
        </w:r>
      </w:ins>
      <w:ins w:id="18" w:author="10334769" w:date="2023-02-14T11:07:12Z">
        <w:r>
          <w:rPr>
            <w:rFonts w:hint="eastAsia" w:cs="v4.2.0"/>
            <w:lang w:eastAsia="zh-CN"/>
          </w:rPr>
          <w:t>he valid parameters of e</w:t>
        </w:r>
      </w:ins>
      <w:ins w:id="19" w:author="10334769" w:date="2023-02-14T11:07:12Z">
        <w:r>
          <w:rPr>
            <w:rFonts w:cs="v4.2.0"/>
            <w:lang w:eastAsia="zh-CN"/>
          </w:rPr>
          <w:t>phemeris information</w:t>
        </w:r>
      </w:ins>
      <w:ins w:id="20" w:author="10334769" w:date="2023-02-14T11:07:12Z">
        <w:r>
          <w:rPr>
            <w:rFonts w:hint="eastAsia" w:cs="v4.2.0"/>
            <w:lang w:eastAsia="zh-CN"/>
          </w:rPr>
          <w:t>, e</w:t>
        </w:r>
      </w:ins>
      <w:ins w:id="21" w:author="10334769" w:date="2023-02-14T11:07:12Z">
        <w:r>
          <w:rPr>
            <w:rFonts w:cs="v4.2.0"/>
            <w:lang w:eastAsia="zh-CN"/>
          </w:rPr>
          <w:t>poch time of the ephemeris</w:t>
        </w:r>
      </w:ins>
      <w:ins w:id="22" w:author="10334769" w:date="2023-02-14T11:07:12Z">
        <w:r>
          <w:rPr>
            <w:rFonts w:hint="eastAsia" w:cs="v4.2.0"/>
            <w:lang w:eastAsia="zh-CN"/>
          </w:rPr>
          <w:t>, c</w:t>
        </w:r>
      </w:ins>
      <w:ins w:id="23" w:author="10334769" w:date="2023-02-14T11:07:12Z">
        <w:r>
          <w:rPr>
            <w:rFonts w:cs="v4.2.0"/>
            <w:lang w:eastAsia="zh-CN"/>
          </w:rPr>
          <w:t>ommon TA</w:t>
        </w:r>
      </w:ins>
      <w:ins w:id="24" w:author="10334769" w:date="2023-02-14T11:07:12Z">
        <w:r>
          <w:rPr>
            <w:rFonts w:hint="eastAsia" w:cs="v4.2.0"/>
            <w:lang w:eastAsia="zh-CN"/>
          </w:rPr>
          <w:t>, v</w:t>
        </w:r>
      </w:ins>
      <w:ins w:id="25" w:author="10334769" w:date="2023-02-14T11:07:12Z">
        <w:r>
          <w:rPr>
            <w:rFonts w:cs="v4.2.0"/>
            <w:lang w:eastAsia="zh-CN"/>
          </w:rPr>
          <w:t>alidity timer information</w:t>
        </w:r>
      </w:ins>
      <w:ins w:id="26" w:author="10334769" w:date="2023-02-14T11:07:12Z">
        <w:r>
          <w:rPr>
            <w:rFonts w:hint="eastAsia" w:cs="v4.2.0"/>
            <w:lang w:eastAsia="zh-CN"/>
          </w:rPr>
          <w:t xml:space="preserve">, </w:t>
        </w:r>
      </w:ins>
      <w:ins w:id="27" w:author="10334769" w:date="2023-02-14T11:07:12Z">
        <w:r>
          <w:rPr>
            <w:rFonts w:hint="eastAsia" w:cs="v4.2.0"/>
            <w:lang w:val="en-US" w:eastAsia="zh-CN"/>
          </w:rPr>
          <w:t>downlink</w:t>
        </w:r>
      </w:ins>
      <w:ins w:id="28" w:author="10334769" w:date="2023-02-14T11:07:12Z">
        <w:r>
          <w:rPr>
            <w:rFonts w:cs="v4.2.0"/>
            <w:lang w:eastAsia="zh-CN"/>
          </w:rPr>
          <w:t xml:space="preserve"> </w:t>
        </w:r>
      </w:ins>
      <w:ins w:id="29" w:author="10334769" w:date="2023-02-14T11:07:12Z">
        <w:r>
          <w:rPr>
            <w:rFonts w:hint="eastAsia" w:cs="v4.2.0"/>
            <w:lang w:val="en-US" w:eastAsia="zh-CN"/>
          </w:rPr>
          <w:t>p</w:t>
        </w:r>
      </w:ins>
      <w:ins w:id="30" w:author="10334769" w:date="2023-02-14T11:07:12Z">
        <w:r>
          <w:rPr>
            <w:rFonts w:cs="v4.2.0"/>
            <w:lang w:eastAsia="zh-CN"/>
          </w:rPr>
          <w:t>olarization information</w:t>
        </w:r>
      </w:ins>
      <w:ins w:id="31" w:author="10334769" w:date="2023-02-14T11:07:12Z">
        <w:r>
          <w:rPr>
            <w:rFonts w:hint="eastAsia" w:cs="v4.2.0"/>
            <w:lang w:val="en-US" w:eastAsia="zh-CN"/>
          </w:rPr>
          <w:t xml:space="preserve"> </w:t>
        </w:r>
      </w:ins>
      <w:ins w:id="32" w:author="10334769" w:date="2023-02-14T11:07:12Z">
        <w:r>
          <w:rPr>
            <w:rFonts w:hint="eastAsia" w:cs="v4.2.0"/>
            <w:lang w:eastAsia="zh-CN"/>
          </w:rPr>
          <w:t>for target NR SAN cell are send to UE</w:t>
        </w:r>
      </w:ins>
      <w:ins w:id="33" w:author="10334769" w:date="2023-02-14T11:07:12Z">
        <w:r>
          <w:rPr>
            <w:rFonts w:hint="eastAsia" w:cs="v4.2.0"/>
            <w:lang w:val="en-US" w:eastAsia="zh-CN"/>
          </w:rPr>
          <w:t>.</w:t>
        </w:r>
      </w:ins>
    </w:p>
    <w:p>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pPr>
        <w:pStyle w:val="105"/>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pPr>
        <w:pStyle w:val="105"/>
        <w:rPr>
          <w:lang w:eastAsia="zh-CN"/>
        </w:rPr>
      </w:pPr>
      <w:r>
        <w:t>-</w:t>
      </w:r>
      <w:r>
        <w:tab/>
      </w:r>
      <w:r>
        <w:t>the SSB is completely contained in the active BWP of the UE</w:t>
      </w:r>
      <w:r>
        <w:rPr>
          <w:rFonts w:hint="eastAsia"/>
          <w:lang w:eastAsia="zh-CN"/>
        </w:rPr>
        <w:t>.</w:t>
      </w:r>
    </w:p>
    <w:p>
      <w:pPr>
        <w:rPr>
          <w:lang w:eastAsia="zh-CN"/>
        </w:rPr>
      </w:pPr>
      <w:r>
        <w:t>For inter-frequency SSB based measurements without measurement gaps, UE may cause scheduling restriction as specified in clause 9.3C.5.3</w:t>
      </w:r>
      <w:r>
        <w:rPr>
          <w:lang w:eastAsia="zh-CN"/>
        </w:rPr>
        <w:t>.</w:t>
      </w:r>
    </w:p>
    <w:p>
      <w:pPr>
        <w:rPr>
          <w:rFonts w:eastAsia="Malgun Gothic"/>
        </w:rPr>
      </w:pPr>
      <w:r>
        <w:rPr>
          <w:rFonts w:eastAsia="Malgun Gothic"/>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pPr>
        <w:rPr>
          <w:rFonts w:cs="v4.2.0"/>
          <w:lang w:eastAsia="zh-CN"/>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pPr>
        <w:pStyle w:val="5"/>
        <w:tabs>
          <w:tab w:val="left" w:pos="2000"/>
        </w:tabs>
        <w:ind w:left="0" w:leftChars="0" w:firstLine="0" w:firstLineChars="0"/>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334769">
    <w15:presenceInfo w15:providerId="None" w15:userId="10334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30D45E4"/>
    <w:rsid w:val="071E2777"/>
    <w:rsid w:val="07B077E6"/>
    <w:rsid w:val="07B87EC3"/>
    <w:rsid w:val="0C262944"/>
    <w:rsid w:val="0D8102B2"/>
    <w:rsid w:val="137A7612"/>
    <w:rsid w:val="13DC3F76"/>
    <w:rsid w:val="15EA2872"/>
    <w:rsid w:val="16845465"/>
    <w:rsid w:val="181872A0"/>
    <w:rsid w:val="1AA50B5C"/>
    <w:rsid w:val="20F66003"/>
    <w:rsid w:val="24A85728"/>
    <w:rsid w:val="28794497"/>
    <w:rsid w:val="2AB80A15"/>
    <w:rsid w:val="2AE84CE7"/>
    <w:rsid w:val="2D477B6D"/>
    <w:rsid w:val="2EFB3041"/>
    <w:rsid w:val="30470B79"/>
    <w:rsid w:val="306871A5"/>
    <w:rsid w:val="341911A0"/>
    <w:rsid w:val="34EF5387"/>
    <w:rsid w:val="37F1754B"/>
    <w:rsid w:val="386556B9"/>
    <w:rsid w:val="3B2466D9"/>
    <w:rsid w:val="3EDC5217"/>
    <w:rsid w:val="432E503A"/>
    <w:rsid w:val="439B66E0"/>
    <w:rsid w:val="451F6E1F"/>
    <w:rsid w:val="46E42C34"/>
    <w:rsid w:val="486B5A33"/>
    <w:rsid w:val="48B0649E"/>
    <w:rsid w:val="48CC0E2C"/>
    <w:rsid w:val="496E701C"/>
    <w:rsid w:val="4B047A96"/>
    <w:rsid w:val="4D206CDF"/>
    <w:rsid w:val="4EFD071B"/>
    <w:rsid w:val="4FF27F05"/>
    <w:rsid w:val="52D914E3"/>
    <w:rsid w:val="534955E2"/>
    <w:rsid w:val="57D153FE"/>
    <w:rsid w:val="58A21419"/>
    <w:rsid w:val="5DB0630A"/>
    <w:rsid w:val="615E0488"/>
    <w:rsid w:val="62C75587"/>
    <w:rsid w:val="6456421D"/>
    <w:rsid w:val="65D57584"/>
    <w:rsid w:val="68471D45"/>
    <w:rsid w:val="694C599F"/>
    <w:rsid w:val="6A976F56"/>
    <w:rsid w:val="6ED02555"/>
    <w:rsid w:val="6FFB6841"/>
    <w:rsid w:val="737A557D"/>
    <w:rsid w:val="76734034"/>
    <w:rsid w:val="77D22113"/>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0</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2023-02-17T09:35:45Z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